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4" w:rsidRPr="006D0B10" w:rsidRDefault="00436927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C45F59">
        <w:rPr>
          <w:rFonts w:ascii="Arial" w:eastAsia="Arial" w:hAnsi="Arial" w:cs="Arial"/>
          <w:sz w:val="24"/>
          <w:szCs w:val="24"/>
        </w:rPr>
        <w:t xml:space="preserve">Saltillo, Coahuila, a </w:t>
      </w:r>
      <w:r w:rsidR="006D0B10">
        <w:rPr>
          <w:rFonts w:ascii="Arial" w:eastAsia="Arial" w:hAnsi="Arial" w:cs="Arial"/>
          <w:sz w:val="24"/>
          <w:szCs w:val="24"/>
        </w:rPr>
        <w:t>veintiuno</w:t>
      </w:r>
      <w:r w:rsidR="00683A17" w:rsidRPr="00C45F59">
        <w:rPr>
          <w:rFonts w:ascii="Arial" w:eastAsia="Arial" w:hAnsi="Arial" w:cs="Arial"/>
          <w:sz w:val="24"/>
          <w:szCs w:val="24"/>
        </w:rPr>
        <w:t xml:space="preserve"> </w:t>
      </w:r>
      <w:r w:rsidR="00A027C4" w:rsidRPr="00C45F59">
        <w:rPr>
          <w:rFonts w:ascii="Arial" w:eastAsia="Arial" w:hAnsi="Arial" w:cs="Arial"/>
          <w:sz w:val="24"/>
          <w:szCs w:val="24"/>
        </w:rPr>
        <w:t xml:space="preserve">de </w:t>
      </w:r>
      <w:r w:rsidR="00683A17" w:rsidRPr="00C45F59">
        <w:rPr>
          <w:rFonts w:ascii="Arial" w:eastAsia="Arial" w:hAnsi="Arial" w:cs="Arial"/>
          <w:sz w:val="24"/>
          <w:szCs w:val="24"/>
        </w:rPr>
        <w:t>marzo</w:t>
      </w:r>
      <w:r w:rsidR="003D7C68" w:rsidRPr="00C45F59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C45F59">
        <w:rPr>
          <w:rFonts w:ascii="Arial" w:eastAsia="Arial" w:hAnsi="Arial" w:cs="Arial"/>
          <w:sz w:val="24"/>
          <w:szCs w:val="24"/>
        </w:rPr>
        <w:t>veintitrés</w:t>
      </w:r>
      <w:r w:rsidR="00A027C4" w:rsidRPr="00C45F59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C45F5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C45F5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45F59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C45F59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C45F59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45F59">
        <w:rPr>
          <w:rFonts w:ascii="Arial" w:eastAsia="Arial" w:hAnsi="Arial" w:cs="Arial"/>
          <w:b/>
          <w:sz w:val="24"/>
          <w:szCs w:val="24"/>
        </w:rPr>
        <w:t>Magistrados de la Sala Colegiada Penal:</w:t>
      </w:r>
    </w:p>
    <w:p w:rsidR="00A027C4" w:rsidRPr="00C45F59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C45F59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45F59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1012C9" w:rsidRPr="00C45F59">
        <w:rPr>
          <w:rFonts w:ascii="Arial" w:eastAsia="Arial" w:hAnsi="Arial" w:cs="Arial"/>
          <w:sz w:val="24"/>
          <w:szCs w:val="24"/>
        </w:rPr>
        <w:t>r la sesión ordinaria de</w:t>
      </w:r>
      <w:r w:rsidRPr="00C45F59">
        <w:rPr>
          <w:rFonts w:ascii="Arial" w:eastAsia="Arial" w:hAnsi="Arial" w:cs="Arial"/>
          <w:sz w:val="24"/>
          <w:szCs w:val="24"/>
        </w:rPr>
        <w:t xml:space="preserve"> la sala del Pleno Penal, misma que tendrá verificativo a las </w:t>
      </w:r>
      <w:r w:rsidR="006D0B10">
        <w:rPr>
          <w:rFonts w:ascii="Arial" w:eastAsia="Arial" w:hAnsi="Arial" w:cs="Arial"/>
          <w:b/>
          <w:sz w:val="24"/>
          <w:szCs w:val="24"/>
        </w:rPr>
        <w:t xml:space="preserve">diez </w:t>
      </w:r>
      <w:r w:rsidR="00F538E5" w:rsidRPr="00C45F59">
        <w:rPr>
          <w:rFonts w:ascii="Arial" w:eastAsia="Arial" w:hAnsi="Arial" w:cs="Arial"/>
          <w:b/>
          <w:sz w:val="24"/>
          <w:szCs w:val="24"/>
        </w:rPr>
        <w:t>horas</w:t>
      </w:r>
      <w:r w:rsidR="006D0B10">
        <w:rPr>
          <w:rFonts w:ascii="Arial" w:eastAsia="Arial" w:hAnsi="Arial" w:cs="Arial"/>
          <w:b/>
          <w:sz w:val="24"/>
          <w:szCs w:val="24"/>
        </w:rPr>
        <w:t xml:space="preserve"> (10</w:t>
      </w:r>
      <w:r w:rsidR="00683A17" w:rsidRPr="00C45F59">
        <w:rPr>
          <w:rFonts w:ascii="Arial" w:eastAsia="Arial" w:hAnsi="Arial" w:cs="Arial"/>
          <w:b/>
          <w:sz w:val="24"/>
          <w:szCs w:val="24"/>
        </w:rPr>
        <w:t>:0</w:t>
      </w:r>
      <w:r w:rsidRPr="00C45F59">
        <w:rPr>
          <w:rFonts w:ascii="Arial" w:eastAsia="Arial" w:hAnsi="Arial" w:cs="Arial"/>
          <w:b/>
          <w:sz w:val="24"/>
          <w:szCs w:val="24"/>
        </w:rPr>
        <w:t>0)</w:t>
      </w:r>
      <w:r w:rsidRPr="00C45F59">
        <w:rPr>
          <w:rFonts w:ascii="Arial" w:eastAsia="Arial" w:hAnsi="Arial" w:cs="Arial"/>
          <w:sz w:val="24"/>
          <w:szCs w:val="24"/>
        </w:rPr>
        <w:t xml:space="preserve">, del día </w:t>
      </w:r>
      <w:r w:rsidR="00774749">
        <w:rPr>
          <w:rFonts w:ascii="Arial" w:eastAsia="Arial" w:hAnsi="Arial" w:cs="Arial"/>
          <w:b/>
          <w:sz w:val="24"/>
          <w:szCs w:val="24"/>
        </w:rPr>
        <w:t>miércoles</w:t>
      </w:r>
      <w:r w:rsidR="00AB66EE" w:rsidRPr="00C45F59">
        <w:rPr>
          <w:rFonts w:ascii="Arial" w:eastAsia="Arial" w:hAnsi="Arial" w:cs="Arial"/>
          <w:b/>
          <w:sz w:val="24"/>
          <w:szCs w:val="24"/>
        </w:rPr>
        <w:t xml:space="preserve"> </w:t>
      </w:r>
      <w:r w:rsidR="006D0B10">
        <w:rPr>
          <w:rFonts w:ascii="Arial" w:eastAsia="Arial" w:hAnsi="Arial" w:cs="Arial"/>
          <w:b/>
          <w:sz w:val="24"/>
          <w:szCs w:val="24"/>
        </w:rPr>
        <w:t>veintidós (22</w:t>
      </w:r>
      <w:r w:rsidRPr="00C45F59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683A17" w:rsidRPr="00C45F59">
        <w:rPr>
          <w:rFonts w:ascii="Arial" w:eastAsia="Arial" w:hAnsi="Arial" w:cs="Arial"/>
          <w:b/>
          <w:sz w:val="24"/>
          <w:szCs w:val="24"/>
        </w:rPr>
        <w:t>marzo</w:t>
      </w:r>
      <w:r w:rsidR="003D7C68" w:rsidRPr="00C45F59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C45F59">
        <w:rPr>
          <w:rFonts w:ascii="Arial" w:eastAsia="Arial" w:hAnsi="Arial" w:cs="Arial"/>
          <w:b/>
          <w:sz w:val="24"/>
          <w:szCs w:val="24"/>
        </w:rPr>
        <w:t>)</w:t>
      </w:r>
      <w:r w:rsidRPr="00C45F59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C45F59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C45F59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45F59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C45F59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C45F5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C45F59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="006D0B1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C45F5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C45F5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C45F59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0970" w:rsidRPr="00C45F59" w:rsidRDefault="00683A17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>Enseguida, la y los Ma</w:t>
      </w:r>
      <w:r w:rsidR="006D0B10">
        <w:rPr>
          <w:rFonts w:ascii="Arial" w:eastAsia="Arial" w:hAnsi="Arial" w:cs="Arial"/>
          <w:color w:val="000000"/>
          <w:sz w:val="24"/>
          <w:szCs w:val="24"/>
        </w:rPr>
        <w:t xml:space="preserve">gistrados numerarios 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683A17" w:rsidRPr="00C45F59" w:rsidRDefault="00683A17" w:rsidP="00683A17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C45F59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Magistrado </w:t>
      </w:r>
      <w:r w:rsidR="006D0B10">
        <w:rPr>
          <w:rFonts w:ascii="Arial" w:hAnsi="Arial" w:cs="Arial"/>
          <w:b/>
          <w:sz w:val="24"/>
          <w:szCs w:val="24"/>
          <w:u w:val="single"/>
          <w:lang w:eastAsia="es-ES"/>
        </w:rPr>
        <w:t>Homero Ramos Gloria</w:t>
      </w:r>
    </w:p>
    <w:p w:rsidR="00683A17" w:rsidRPr="00C45F59" w:rsidRDefault="00683A17" w:rsidP="00683A17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F14FA" w:rsidRPr="006D0B10" w:rsidRDefault="006D0B10" w:rsidP="006D0B10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26</w:t>
      </w:r>
      <w:r w:rsidR="00774749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2023-JO</w:t>
      </w:r>
      <w:r w:rsidR="00683A17" w:rsidRPr="00C45F59">
        <w:rPr>
          <w:rFonts w:ascii="Arial" w:hAnsi="Arial" w:cs="Arial"/>
          <w:sz w:val="24"/>
          <w:szCs w:val="24"/>
        </w:rPr>
        <w:t xml:space="preserve"> </w:t>
      </w:r>
      <w:r w:rsidR="00D00E25">
        <w:rPr>
          <w:rFonts w:ascii="Arial" w:hAnsi="Arial" w:cs="Arial"/>
          <w:sz w:val="24"/>
          <w:szCs w:val="26"/>
        </w:rPr>
        <w:t>dentro del proceso 0396/2019-JO</w:t>
      </w:r>
      <w:bookmarkStart w:id="0" w:name="_GoBack"/>
      <w:bookmarkEnd w:id="0"/>
      <w:r w:rsidRPr="006D0B10">
        <w:rPr>
          <w:rFonts w:ascii="Arial" w:hAnsi="Arial" w:cs="Arial"/>
          <w:sz w:val="24"/>
          <w:szCs w:val="26"/>
        </w:rPr>
        <w:t xml:space="preserve">, que por el delito de violencia familiar física y psicológica, se dictó en contra de José </w:t>
      </w:r>
      <w:r>
        <w:rPr>
          <w:rFonts w:ascii="Arial" w:hAnsi="Arial" w:cs="Arial"/>
          <w:sz w:val="24"/>
          <w:szCs w:val="26"/>
        </w:rPr>
        <w:t xml:space="preserve">Luis. </w:t>
      </w:r>
      <w:r>
        <w:rPr>
          <w:rFonts w:ascii="Arial" w:hAnsi="Arial" w:cs="Arial"/>
          <w:b/>
          <w:sz w:val="24"/>
          <w:szCs w:val="26"/>
        </w:rPr>
        <w:t>LERV----JJYA.</w:t>
      </w:r>
    </w:p>
    <w:p w:rsidR="00A027C4" w:rsidRPr="00C45F59" w:rsidRDefault="00683A17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4) </w:t>
      </w:r>
      <w:r w:rsidR="00CB6035" w:rsidRPr="00C45F5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27C4" w:rsidRPr="00C45F59">
        <w:rPr>
          <w:rFonts w:ascii="Arial" w:eastAsia="Arial" w:hAnsi="Arial" w:cs="Arial"/>
          <w:b/>
          <w:color w:val="000000"/>
          <w:sz w:val="24"/>
          <w:szCs w:val="24"/>
        </w:rPr>
        <w:t>Asuntos Generales:</w:t>
      </w:r>
      <w:r w:rsidR="00A027C4" w:rsidRPr="00C45F5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C45F59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45F59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C45F59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C45F59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C45F59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C45F59" w:rsidRDefault="00C45F59" w:rsidP="006D0B10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041A46">
        <w:rPr>
          <w:rFonts w:ascii="Arial" w:eastAsia="Arial" w:hAnsi="Arial" w:cs="Arial"/>
          <w:b/>
          <w:sz w:val="24"/>
          <w:szCs w:val="24"/>
        </w:rPr>
        <w:t>)</w:t>
      </w:r>
      <w:r w:rsidR="00A027C4" w:rsidRPr="00C45F59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C45F59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="00A027C4" w:rsidRPr="00C45F59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="00A027C4" w:rsidRPr="00C45F59">
        <w:rPr>
          <w:rFonts w:ascii="Arial" w:eastAsia="Arial" w:hAnsi="Arial" w:cs="Arial"/>
          <w:sz w:val="24"/>
          <w:szCs w:val="24"/>
        </w:rPr>
        <w:t>celebrada</w:t>
      </w:r>
      <w:r w:rsidR="00A027C4" w:rsidRPr="00C45F59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C45F59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Pr="00C45F59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C45F59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45F59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C45F59" w:rsidSect="00AB66EE">
      <w:pgSz w:w="12240" w:h="20160"/>
      <w:pgMar w:top="1560" w:right="1418" w:bottom="1418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041A46"/>
    <w:rsid w:val="000F14FA"/>
    <w:rsid w:val="001012C9"/>
    <w:rsid w:val="00105770"/>
    <w:rsid w:val="00144113"/>
    <w:rsid w:val="00165235"/>
    <w:rsid w:val="001A43ED"/>
    <w:rsid w:val="00225F9F"/>
    <w:rsid w:val="00281060"/>
    <w:rsid w:val="003512A0"/>
    <w:rsid w:val="00382AC9"/>
    <w:rsid w:val="00394C0A"/>
    <w:rsid w:val="003A7E46"/>
    <w:rsid w:val="003B2E12"/>
    <w:rsid w:val="003D7C68"/>
    <w:rsid w:val="003E03B3"/>
    <w:rsid w:val="003E6B86"/>
    <w:rsid w:val="00415FAD"/>
    <w:rsid w:val="00436927"/>
    <w:rsid w:val="005A3BB5"/>
    <w:rsid w:val="00683A17"/>
    <w:rsid w:val="006D0B10"/>
    <w:rsid w:val="006E02BC"/>
    <w:rsid w:val="006E2783"/>
    <w:rsid w:val="00722218"/>
    <w:rsid w:val="00774749"/>
    <w:rsid w:val="007F5039"/>
    <w:rsid w:val="00800CE8"/>
    <w:rsid w:val="00860679"/>
    <w:rsid w:val="00865C8D"/>
    <w:rsid w:val="008B2E56"/>
    <w:rsid w:val="009243B4"/>
    <w:rsid w:val="009410F3"/>
    <w:rsid w:val="009645ED"/>
    <w:rsid w:val="009835F6"/>
    <w:rsid w:val="00A027C4"/>
    <w:rsid w:val="00A2697D"/>
    <w:rsid w:val="00AA2AEA"/>
    <w:rsid w:val="00AB66EE"/>
    <w:rsid w:val="00BE3399"/>
    <w:rsid w:val="00C04DAD"/>
    <w:rsid w:val="00C45F59"/>
    <w:rsid w:val="00C8277D"/>
    <w:rsid w:val="00CA1A0C"/>
    <w:rsid w:val="00CB6035"/>
    <w:rsid w:val="00CC0970"/>
    <w:rsid w:val="00CD06FC"/>
    <w:rsid w:val="00D00E25"/>
    <w:rsid w:val="00D444EE"/>
    <w:rsid w:val="00D72407"/>
    <w:rsid w:val="00DC225D"/>
    <w:rsid w:val="00DC7BBA"/>
    <w:rsid w:val="00DE23AD"/>
    <w:rsid w:val="00DE7AA4"/>
    <w:rsid w:val="00E80568"/>
    <w:rsid w:val="00ED5570"/>
    <w:rsid w:val="00F101CE"/>
    <w:rsid w:val="00F438C2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BA">
    <w:name w:val="ABA"/>
    <w:basedOn w:val="Normal"/>
    <w:link w:val="ABACar"/>
    <w:autoRedefine/>
    <w:qFormat/>
    <w:rsid w:val="00F538E5"/>
    <w:pPr>
      <w:suppressLineNumbers/>
      <w:suppressAutoHyphens/>
      <w:spacing w:before="240" w:after="240" w:line="360" w:lineRule="auto"/>
      <w:ind w:right="902"/>
      <w:jc w:val="both"/>
    </w:pPr>
    <w:rPr>
      <w:rFonts w:ascii="Arial" w:eastAsia="Batang" w:hAnsi="Arial" w:cs="Arial"/>
      <w:iCs/>
      <w:sz w:val="24"/>
      <w:szCs w:val="24"/>
      <w:lang w:eastAsia="es-ES"/>
    </w:rPr>
  </w:style>
  <w:style w:type="character" w:customStyle="1" w:styleId="ABACar">
    <w:name w:val="ABA Car"/>
    <w:link w:val="ABA"/>
    <w:rsid w:val="00F538E5"/>
    <w:rPr>
      <w:rFonts w:ascii="Arial" w:eastAsia="Batang" w:hAnsi="Arial" w:cs="Arial"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2023-03-21T17:05:00Z</dcterms:created>
  <dcterms:modified xsi:type="dcterms:W3CDTF">2023-03-21T17:05:00Z</dcterms:modified>
</cp:coreProperties>
</file>